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7B80E" w14:textId="26A4DD40" w:rsidR="00712DA5" w:rsidRDefault="00FE4F74" w:rsidP="00712DA5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Contract 14422</w:t>
      </w:r>
    </w:p>
    <w:p w14:paraId="1DC8A350" w14:textId="4BE700D4" w:rsidR="00FE4F74" w:rsidRDefault="00FE4F74" w:rsidP="00712DA5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Office Furniture</w:t>
      </w:r>
    </w:p>
    <w:p w14:paraId="41FCD484" w14:textId="77777777" w:rsidR="00712DA5" w:rsidRDefault="00712DA5" w:rsidP="00E322A1">
      <w:pPr>
        <w:spacing w:after="60" w:line="240" w:lineRule="auto"/>
        <w:jc w:val="center"/>
        <w:rPr>
          <w:b/>
          <w:bCs/>
        </w:rPr>
      </w:pPr>
    </w:p>
    <w:p w14:paraId="1B71A74B" w14:textId="311E0110" w:rsidR="00712DA5" w:rsidRDefault="00712DA5" w:rsidP="00712DA5">
      <w:pPr>
        <w:spacing w:after="0" w:line="240" w:lineRule="auto"/>
        <w:jc w:val="center"/>
        <w:rPr>
          <w:sz w:val="28"/>
          <w:szCs w:val="28"/>
        </w:rPr>
      </w:pPr>
      <w:r w:rsidRPr="007C255D">
        <w:rPr>
          <w:sz w:val="28"/>
          <w:szCs w:val="28"/>
        </w:rPr>
        <w:t>OpenSquare Service Schedule and Rates</w:t>
      </w:r>
      <w:r w:rsidR="00FE4F74">
        <w:rPr>
          <w:sz w:val="28"/>
          <w:szCs w:val="28"/>
        </w:rPr>
        <w:t xml:space="preserve"> (Steelcase Authorized Sub-contractor)</w:t>
      </w:r>
    </w:p>
    <w:p w14:paraId="671B9382" w14:textId="5A30F43F" w:rsidR="00FE4F74" w:rsidRPr="007C255D" w:rsidRDefault="00FE4F74" w:rsidP="00712DA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Effective July 15, 2022</w:t>
      </w:r>
    </w:p>
    <w:p w14:paraId="106BDE14" w14:textId="77777777" w:rsidR="00712DA5" w:rsidRDefault="00712DA5" w:rsidP="00712DA5">
      <w:pPr>
        <w:spacing w:after="0" w:line="240" w:lineRule="auto"/>
      </w:pPr>
    </w:p>
    <w:tbl>
      <w:tblPr>
        <w:tblW w:w="15660" w:type="dxa"/>
        <w:tblInd w:w="-185" w:type="dxa"/>
        <w:tblLook w:val="04A0" w:firstRow="1" w:lastRow="0" w:firstColumn="1" w:lastColumn="0" w:noHBand="0" w:noVBand="1"/>
      </w:tblPr>
      <w:tblGrid>
        <w:gridCol w:w="4410"/>
        <w:gridCol w:w="1620"/>
        <w:gridCol w:w="2070"/>
        <w:gridCol w:w="1811"/>
        <w:gridCol w:w="1890"/>
        <w:gridCol w:w="1879"/>
        <w:gridCol w:w="1980"/>
      </w:tblGrid>
      <w:tr w:rsidR="00E322A1" w:rsidRPr="005A765A" w14:paraId="51617FAC" w14:textId="77777777" w:rsidTr="00E322A1">
        <w:trPr>
          <w:trHeight w:val="31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34F63AC" w14:textId="3A4134A6" w:rsidR="005A765A" w:rsidRPr="00E322A1" w:rsidRDefault="005A765A" w:rsidP="00E322A1">
            <w:pPr>
              <w:spacing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322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Service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AF8DE2" w14:textId="7B9398F2" w:rsidR="005A765A" w:rsidRPr="00E322A1" w:rsidRDefault="005A765A" w:rsidP="00E322A1">
            <w:pPr>
              <w:spacing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322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Reg </w:t>
            </w:r>
            <w:proofErr w:type="spellStart"/>
            <w:r w:rsidRPr="00E322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Hrly</w:t>
            </w:r>
            <w:proofErr w:type="spellEnd"/>
            <w:r w:rsidRPr="00E322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Rate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14:paraId="0CEAC030" w14:textId="77777777" w:rsidR="0092774A" w:rsidRPr="00E322A1" w:rsidRDefault="0092774A" w:rsidP="00E322A1">
            <w:pPr>
              <w:spacing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322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Saturday</w:t>
            </w:r>
          </w:p>
          <w:p w14:paraId="64E2ED1E" w14:textId="78E64372" w:rsidR="005A765A" w:rsidRPr="00E322A1" w:rsidRDefault="0092774A" w:rsidP="00E322A1">
            <w:pPr>
              <w:spacing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322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OT </w:t>
            </w:r>
            <w:proofErr w:type="spellStart"/>
            <w:r w:rsidRPr="00E322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Hrly</w:t>
            </w:r>
            <w:proofErr w:type="spellEnd"/>
            <w:r w:rsidRPr="00E322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Rate X 1.5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14:paraId="3BEAC097" w14:textId="77777777" w:rsidR="005A765A" w:rsidRPr="00E322A1" w:rsidRDefault="0092774A" w:rsidP="00E322A1">
            <w:pPr>
              <w:spacing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322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Sunday/Holiday</w:t>
            </w:r>
          </w:p>
          <w:p w14:paraId="70AF85D1" w14:textId="4BB49803" w:rsidR="0092774A" w:rsidRPr="00E322A1" w:rsidRDefault="0092774A" w:rsidP="00E322A1">
            <w:pPr>
              <w:spacing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22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Hrly</w:t>
            </w:r>
            <w:proofErr w:type="spellEnd"/>
            <w:r w:rsidRPr="00E322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Rate X 2.0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14:paraId="5BCF1350" w14:textId="77777777" w:rsidR="0092774A" w:rsidRPr="00E322A1" w:rsidRDefault="0092774A" w:rsidP="00E322A1">
            <w:pPr>
              <w:spacing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322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Prevailing Wage</w:t>
            </w:r>
          </w:p>
          <w:p w14:paraId="18AD8EAD" w14:textId="25CA25FE" w:rsidR="005A765A" w:rsidRPr="00E322A1" w:rsidRDefault="0092774A" w:rsidP="00E322A1">
            <w:pPr>
              <w:spacing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322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Reg </w:t>
            </w:r>
            <w:proofErr w:type="spellStart"/>
            <w:r w:rsidRPr="00E322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Hrly</w:t>
            </w:r>
            <w:proofErr w:type="spellEnd"/>
            <w:r w:rsidRPr="00E322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Rate</w:t>
            </w:r>
            <w:r w:rsidRPr="00E322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14:paraId="298A2A49" w14:textId="490BCAB9" w:rsidR="005A765A" w:rsidRPr="00E322A1" w:rsidRDefault="0092774A" w:rsidP="00E322A1">
            <w:pPr>
              <w:spacing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322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Prevailing Wage</w:t>
            </w:r>
          </w:p>
          <w:p w14:paraId="55473E1D" w14:textId="418DD8E9" w:rsidR="0092774A" w:rsidRPr="00E322A1" w:rsidRDefault="0092774A" w:rsidP="00E322A1">
            <w:pPr>
              <w:spacing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322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OT </w:t>
            </w:r>
            <w:proofErr w:type="spellStart"/>
            <w:r w:rsidRPr="00E322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Hrly</w:t>
            </w:r>
            <w:proofErr w:type="spellEnd"/>
            <w:r w:rsidRPr="00E322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Rate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14:paraId="58E656E6" w14:textId="17A0A713" w:rsidR="0092774A" w:rsidRPr="00E322A1" w:rsidRDefault="0092774A" w:rsidP="009277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322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Prevailing Wage</w:t>
            </w:r>
          </w:p>
          <w:p w14:paraId="2926D260" w14:textId="642D2236" w:rsidR="005A765A" w:rsidRPr="00E322A1" w:rsidRDefault="0092774A" w:rsidP="00E322A1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22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Dbl</w:t>
            </w:r>
            <w:proofErr w:type="spellEnd"/>
            <w:r w:rsidRPr="00E322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22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Hrly</w:t>
            </w:r>
            <w:proofErr w:type="spellEnd"/>
            <w:r w:rsidRPr="00E322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Rate</w:t>
            </w:r>
          </w:p>
        </w:tc>
      </w:tr>
      <w:tr w:rsidR="00712DA5" w:rsidRPr="005A765A" w14:paraId="4E6227D6" w14:textId="77777777" w:rsidTr="00E322A1">
        <w:trPr>
          <w:trHeight w:val="36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718D" w14:textId="77777777" w:rsidR="00712DA5" w:rsidRPr="005A765A" w:rsidRDefault="00712DA5" w:rsidP="00E322A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Design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DD663" w14:textId="77777777" w:rsidR="00712DA5" w:rsidRPr="005A765A" w:rsidRDefault="00712DA5" w:rsidP="00E322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96.43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6553B" w14:textId="77777777" w:rsidR="00712DA5" w:rsidRPr="005A765A" w:rsidRDefault="00712DA5" w:rsidP="00E322A1">
            <w:pPr>
              <w:spacing w:after="6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144.64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073EE" w14:textId="77777777" w:rsidR="00712DA5" w:rsidRPr="005A765A" w:rsidRDefault="00712DA5" w:rsidP="00E322A1">
            <w:pPr>
              <w:spacing w:after="6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192.85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2D7C" w14:textId="77777777" w:rsidR="00712DA5" w:rsidRPr="005A765A" w:rsidRDefault="00712DA5" w:rsidP="00E322A1">
            <w:pPr>
              <w:spacing w:after="6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A51E" w14:textId="77777777" w:rsidR="00712DA5" w:rsidRPr="005A765A" w:rsidRDefault="00712DA5" w:rsidP="00E322A1">
            <w:pPr>
              <w:spacing w:after="6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5D25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</w:tr>
      <w:tr w:rsidR="00712DA5" w:rsidRPr="005A765A" w14:paraId="33F5BD4C" w14:textId="77777777" w:rsidTr="00E322A1">
        <w:trPr>
          <w:trHeight w:val="3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1CF4" w14:textId="77777777" w:rsidR="00712DA5" w:rsidRPr="005A765A" w:rsidRDefault="00712DA5" w:rsidP="008213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Technical Services*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678CF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96.43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57191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144.64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2B5C0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192.85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33C7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5FDE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83D0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</w:tr>
      <w:tr w:rsidR="00712DA5" w:rsidRPr="005A765A" w14:paraId="251A9A84" w14:textId="77777777" w:rsidTr="00E322A1">
        <w:trPr>
          <w:trHeight w:val="3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D476" w14:textId="77777777" w:rsidR="00712DA5" w:rsidRPr="005A765A" w:rsidRDefault="00712DA5" w:rsidP="008213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Installation Coordination Services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2BA7D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96.43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91E8E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144.64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622ED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192.85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A2F5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6812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56ED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</w:tr>
      <w:tr w:rsidR="00712DA5" w:rsidRPr="005A765A" w14:paraId="35851FB9" w14:textId="77777777" w:rsidTr="00E322A1">
        <w:trPr>
          <w:trHeight w:val="3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7A52" w14:textId="77777777" w:rsidR="00712DA5" w:rsidRPr="005A765A" w:rsidRDefault="00712DA5" w:rsidP="008213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Service Technician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5063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76.13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BD36F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114.19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B31B4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152.25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7AD7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69A3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82C1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</w:tr>
      <w:tr w:rsidR="00712DA5" w:rsidRPr="005A765A" w14:paraId="02099B66" w14:textId="77777777" w:rsidTr="00E322A1">
        <w:trPr>
          <w:trHeight w:val="3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CE8D" w14:textId="77777777" w:rsidR="00712DA5" w:rsidRPr="005A765A" w:rsidRDefault="00712DA5" w:rsidP="008213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Technology Installation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E8F6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76.13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41B3B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114.19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575A2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152.25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A177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355C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F040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</w:tr>
      <w:tr w:rsidR="00712DA5" w:rsidRPr="005A765A" w14:paraId="3DB256E7" w14:textId="77777777" w:rsidTr="00E322A1">
        <w:trPr>
          <w:trHeight w:val="3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4ADB" w14:textId="77777777" w:rsidR="00712DA5" w:rsidRPr="005A765A" w:rsidRDefault="00712DA5" w:rsidP="008213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Lead Technology Installation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933E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96.43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4A0A4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144.64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39BCF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192.85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FAB6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FFE5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BD9F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</w:tr>
      <w:tr w:rsidR="00712DA5" w:rsidRPr="005A765A" w14:paraId="1FAEC51E" w14:textId="77777777" w:rsidTr="00E322A1">
        <w:trPr>
          <w:trHeight w:val="3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A319" w14:textId="77777777" w:rsidR="00712DA5" w:rsidRPr="005A765A" w:rsidRDefault="00712DA5" w:rsidP="008213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Systems Engineer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E55A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126.88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07D7F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190.31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B35C5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253.75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AF17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EE1B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5941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</w:tr>
      <w:tr w:rsidR="00712DA5" w:rsidRPr="005A765A" w14:paraId="2AA67F69" w14:textId="77777777" w:rsidTr="00E322A1">
        <w:trPr>
          <w:trHeight w:val="3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D3B6" w14:textId="77777777" w:rsidR="00712DA5" w:rsidRPr="005A765A" w:rsidRDefault="00712DA5" w:rsidP="008213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Lead Installer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AF5A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76.13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DFF6A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114.19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C58AD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152.25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D683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4E8F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9E2A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</w:tr>
      <w:tr w:rsidR="00712DA5" w:rsidRPr="005A765A" w14:paraId="503D2E8E" w14:textId="77777777" w:rsidTr="00E322A1">
        <w:trPr>
          <w:trHeight w:val="3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A3EE" w14:textId="77777777" w:rsidR="00712DA5" w:rsidRPr="005A765A" w:rsidRDefault="00712DA5" w:rsidP="008213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Installer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B18F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65.98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39B76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98.96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FAF8C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131.95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51BE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D597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ED88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</w:tr>
      <w:tr w:rsidR="00712DA5" w:rsidRPr="005A765A" w14:paraId="301163D0" w14:textId="77777777" w:rsidTr="00E322A1">
        <w:trPr>
          <w:trHeight w:val="3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E79C" w14:textId="49BF57CF" w:rsidR="00712DA5" w:rsidRPr="005A765A" w:rsidRDefault="00712DA5" w:rsidP="008213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Wall Installat</w:t>
            </w:r>
            <w:r w:rsidR="00A133C8"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i</w:t>
            </w: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2657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82D7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4487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C164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E4B4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C341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</w:tr>
      <w:tr w:rsidR="00712DA5" w:rsidRPr="005A765A" w14:paraId="5A4152D3" w14:textId="77777777" w:rsidTr="00E322A1">
        <w:trPr>
          <w:trHeight w:val="3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FC2E" w14:textId="77777777" w:rsidR="00712DA5" w:rsidRPr="005A765A" w:rsidRDefault="00712DA5" w:rsidP="008213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Warehouse Services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D2D7A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65.98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68714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98.96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8B128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131.95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096D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4F6B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BE3F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</w:tr>
      <w:tr w:rsidR="00712DA5" w:rsidRPr="005A765A" w14:paraId="0E0E9BBE" w14:textId="77777777" w:rsidTr="00E322A1">
        <w:trPr>
          <w:trHeight w:val="3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3DA0" w14:textId="77777777" w:rsidR="00712DA5" w:rsidRPr="005A765A" w:rsidRDefault="00712DA5" w:rsidP="008213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Truck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FD5DA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30.45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E4E9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9AE2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9A94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0EBC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1C83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</w:tr>
      <w:tr w:rsidR="00712DA5" w:rsidRPr="005A765A" w14:paraId="5128D824" w14:textId="77777777" w:rsidTr="00E322A1">
        <w:trPr>
          <w:trHeight w:val="3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8CCE" w14:textId="77777777" w:rsidR="00712DA5" w:rsidRPr="005A765A" w:rsidRDefault="00712DA5" w:rsidP="008213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Move Services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BB14D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65.98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D911E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98.96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503F0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131.95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F870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A9E5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7B6D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</w:tr>
      <w:tr w:rsidR="00712DA5" w:rsidRPr="005A765A" w14:paraId="5AE1C1D8" w14:textId="77777777" w:rsidTr="00E322A1">
        <w:trPr>
          <w:trHeight w:val="3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CB39" w14:textId="77777777" w:rsidR="00712DA5" w:rsidRPr="005A765A" w:rsidRDefault="00712DA5" w:rsidP="008213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Storage (per Sq Foot)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923FF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C2C1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4D24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2E8D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B436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3F0E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</w:tr>
      <w:tr w:rsidR="00712DA5" w:rsidRPr="005A765A" w14:paraId="33B6B4A8" w14:textId="77777777" w:rsidTr="00E322A1">
        <w:trPr>
          <w:trHeight w:val="3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596E" w14:textId="77777777" w:rsidR="00712DA5" w:rsidRPr="005A765A" w:rsidRDefault="00712DA5" w:rsidP="008213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Asset Management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1A242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83.23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9AE4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D94C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027E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52FF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D574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</w:tr>
      <w:tr w:rsidR="00712DA5" w:rsidRPr="005A765A" w14:paraId="062834AE" w14:textId="77777777" w:rsidTr="00E322A1">
        <w:trPr>
          <w:trHeight w:val="3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71FE" w14:textId="77777777" w:rsidR="00712DA5" w:rsidRPr="005A765A" w:rsidRDefault="00712DA5" w:rsidP="008213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AST In Fees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AD265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6494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6439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AC1C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7A00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24F2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</w:tr>
      <w:tr w:rsidR="00712DA5" w:rsidRPr="005A765A" w14:paraId="188CE8EC" w14:textId="77777777" w:rsidTr="00E322A1">
        <w:trPr>
          <w:trHeight w:val="3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A5BE" w14:textId="36E23922" w:rsidR="00712DA5" w:rsidRPr="005A765A" w:rsidRDefault="00712DA5" w:rsidP="008213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A</w:t>
            </w:r>
            <w:r w:rsidR="00A133C8"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ST</w:t>
            </w: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Out Fees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83C26" w14:textId="77777777" w:rsidR="00712DA5" w:rsidRPr="005A765A" w:rsidRDefault="00712DA5" w:rsidP="008213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3446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63A9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F207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FA1E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293C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</w:tc>
      </w:tr>
      <w:tr w:rsidR="00712DA5" w:rsidRPr="005A765A" w14:paraId="54C4511C" w14:textId="77777777" w:rsidTr="00E322A1">
        <w:trPr>
          <w:trHeight w:val="3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5E9A" w14:textId="77777777" w:rsidR="00712DA5" w:rsidRPr="005A765A" w:rsidRDefault="00712DA5" w:rsidP="008213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Wood Touch Up / Refinishing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34FB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3E8C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77FF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4423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A5AB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5862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</w:tr>
      <w:tr w:rsidR="00712DA5" w:rsidRPr="005A765A" w14:paraId="581188E4" w14:textId="77777777" w:rsidTr="00E322A1">
        <w:trPr>
          <w:trHeight w:val="3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9124" w14:textId="77777777" w:rsidR="00712DA5" w:rsidRPr="005A765A" w:rsidRDefault="00712DA5" w:rsidP="008213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Non-Warranty Service/Repair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D01E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F806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D1F3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33F6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58A8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FB47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</w:tr>
      <w:tr w:rsidR="00712DA5" w:rsidRPr="005A765A" w14:paraId="780AD8BD" w14:textId="77777777" w:rsidTr="00E322A1">
        <w:trPr>
          <w:trHeight w:val="3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7237" w14:textId="77777777" w:rsidR="00712DA5" w:rsidRPr="005A765A" w:rsidRDefault="00712DA5" w:rsidP="008213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Electrician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643A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BA0C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21F1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149B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7A65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205F" w14:textId="77777777" w:rsidR="00712DA5" w:rsidRPr="005A765A" w:rsidRDefault="00712DA5" w:rsidP="008213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765A">
              <w:rPr>
                <w:rFonts w:eastAsia="Times New Roman" w:cstheme="minorHAnsi"/>
                <w:color w:val="000000"/>
                <w:sz w:val="24"/>
                <w:szCs w:val="24"/>
              </w:rPr>
              <w:t>Quoted</w:t>
            </w:r>
          </w:p>
        </w:tc>
      </w:tr>
    </w:tbl>
    <w:p w14:paraId="5329D128" w14:textId="77777777" w:rsidR="00712DA5" w:rsidRDefault="00712DA5" w:rsidP="00712DA5">
      <w:pPr>
        <w:spacing w:after="0" w:line="240" w:lineRule="auto"/>
      </w:pPr>
    </w:p>
    <w:p w14:paraId="0649C72C" w14:textId="5559EA80" w:rsidR="00712DA5" w:rsidRPr="00BC0D9D" w:rsidRDefault="00712DA5" w:rsidP="00712DA5">
      <w:pPr>
        <w:spacing w:after="0" w:line="240" w:lineRule="auto"/>
      </w:pPr>
      <w:r w:rsidRPr="00712DA5">
        <w:t xml:space="preserve">*  Through our Technical Services offering, we partner to strategically explore and research product options, test fits, and develop/vet specifications according to agreed-upon criteria (cost, timelines, etc.) to align with the project’s budget, schedule, and other key parameters.   Our deliverables include planning services as well as thought starters, </w:t>
      </w:r>
      <w:proofErr w:type="spellStart"/>
      <w:r w:rsidRPr="00712DA5">
        <w:t>typicals</w:t>
      </w:r>
      <w:proofErr w:type="spellEnd"/>
      <w:r w:rsidRPr="00712DA5">
        <w:t>, renderings, and conceptual designs. Our approach touches everything from beautiful physical spaces to streamlined processes and tech ingenuity.</w:t>
      </w:r>
      <w:r w:rsidRPr="00712DA5">
        <w:tab/>
      </w:r>
      <w:r w:rsidRPr="00712DA5">
        <w:tab/>
      </w:r>
    </w:p>
    <w:p w14:paraId="06D46EF9" w14:textId="77777777" w:rsidR="00EA74AF" w:rsidRDefault="00EA74AF"/>
    <w:sectPr w:rsidR="00EA74AF" w:rsidSect="00712DA5">
      <w:pgSz w:w="20160" w:h="12240" w:orient="landscape" w:code="5"/>
      <w:pgMar w:top="720" w:right="1440" w:bottom="720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A5"/>
    <w:rsid w:val="005A765A"/>
    <w:rsid w:val="00712DA5"/>
    <w:rsid w:val="0092774A"/>
    <w:rsid w:val="00A133C8"/>
    <w:rsid w:val="00E322A1"/>
    <w:rsid w:val="00EA74AF"/>
    <w:rsid w:val="00FE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8EF17"/>
  <w15:chartTrackingRefBased/>
  <w15:docId w15:val="{CE20CE68-4578-4DC5-BCD6-709BA918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D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12E03-2337-45EE-AC58-7A0DAF69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Kathy (DES)</dc:creator>
  <cp:keywords/>
  <dc:description/>
  <cp:lastModifiedBy>Paterson, Kathy (DES)</cp:lastModifiedBy>
  <cp:revision>3</cp:revision>
  <dcterms:created xsi:type="dcterms:W3CDTF">2022-07-14T14:41:00Z</dcterms:created>
  <dcterms:modified xsi:type="dcterms:W3CDTF">2022-07-14T15:02:00Z</dcterms:modified>
</cp:coreProperties>
</file>